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CC" w:rsidRDefault="001360CC" w:rsidP="001360CC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bidi="ar-SA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0CC" w:rsidRPr="001360CC" w:rsidRDefault="001360CC" w:rsidP="001360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1360CC" w:rsidRDefault="001360CC" w:rsidP="001360C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1360CC" w:rsidRDefault="001360CC" w:rsidP="001360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1360CC" w:rsidRPr="001360CC" w:rsidRDefault="001360CC" w:rsidP="001360CC">
      <w:pPr>
        <w:jc w:val="center"/>
        <w:rPr>
          <w:rFonts w:ascii="Times New Roman" w:hAnsi="Times New Roman" w:cs="Times New Roman"/>
          <w:b/>
        </w:rPr>
      </w:pPr>
    </w:p>
    <w:p w:rsidR="001360CC" w:rsidRPr="001360CC" w:rsidRDefault="001360CC" w:rsidP="001360CC">
      <w:pPr>
        <w:jc w:val="center"/>
        <w:rPr>
          <w:rFonts w:ascii="Times New Roman" w:hAnsi="Times New Roman" w:cs="Times New Roman"/>
          <w:b/>
        </w:rPr>
      </w:pPr>
    </w:p>
    <w:p w:rsidR="001360CC" w:rsidRDefault="001360CC" w:rsidP="001360CC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1360CC" w:rsidRPr="001360CC" w:rsidRDefault="001360CC" w:rsidP="001360CC">
      <w:pPr>
        <w:jc w:val="both"/>
        <w:rPr>
          <w:rFonts w:ascii="Times New Roman" w:hAnsi="Times New Roman" w:cs="Times New Roman"/>
          <w:b/>
        </w:rPr>
      </w:pPr>
    </w:p>
    <w:p w:rsidR="001360CC" w:rsidRPr="001360CC" w:rsidRDefault="001360CC" w:rsidP="001360CC">
      <w:pPr>
        <w:jc w:val="both"/>
        <w:rPr>
          <w:rFonts w:ascii="Times New Roman" w:hAnsi="Times New Roman" w:cs="Times New Roman"/>
          <w:b/>
        </w:rPr>
      </w:pPr>
    </w:p>
    <w:p w:rsidR="001360CC" w:rsidRPr="006F2085" w:rsidRDefault="006F2085" w:rsidP="001360CC">
      <w:pPr>
        <w:rPr>
          <w:rFonts w:ascii="Times New Roman" w:hAnsi="Times New Roman" w:cs="Times New Roman"/>
          <w:b/>
          <w:sz w:val="32"/>
        </w:rPr>
      </w:pPr>
      <w:r w:rsidRPr="006F2085">
        <w:rPr>
          <w:rFonts w:ascii="Times New Roman" w:hAnsi="Times New Roman" w:cs="Times New Roman"/>
          <w:b/>
          <w:sz w:val="32"/>
        </w:rPr>
        <w:t>« 04 » ___</w:t>
      </w:r>
      <w:r w:rsidRPr="006F2085">
        <w:rPr>
          <w:rFonts w:ascii="Times New Roman" w:hAnsi="Times New Roman" w:cs="Times New Roman"/>
          <w:b/>
          <w:sz w:val="32"/>
          <w:u w:val="single"/>
        </w:rPr>
        <w:t>12</w:t>
      </w:r>
      <w:r w:rsidRPr="006F2085">
        <w:rPr>
          <w:rFonts w:ascii="Times New Roman" w:hAnsi="Times New Roman" w:cs="Times New Roman"/>
          <w:b/>
          <w:sz w:val="32"/>
        </w:rPr>
        <w:t xml:space="preserve">____2024   г.     г. Боготол   </w:t>
      </w:r>
      <w:r>
        <w:rPr>
          <w:rFonts w:ascii="Times New Roman" w:hAnsi="Times New Roman" w:cs="Times New Roman"/>
          <w:b/>
          <w:sz w:val="32"/>
        </w:rPr>
        <w:t xml:space="preserve">                          № 1427</w:t>
      </w:r>
      <w:r w:rsidRPr="006F2085">
        <w:rPr>
          <w:rFonts w:ascii="Times New Roman" w:hAnsi="Times New Roman" w:cs="Times New Roman"/>
          <w:b/>
          <w:sz w:val="32"/>
        </w:rPr>
        <w:t>-п</w:t>
      </w:r>
      <w:r w:rsidR="0058638A" w:rsidRPr="006F2085">
        <w:rPr>
          <w:rFonts w:ascii="Times New Roman" w:hAnsi="Times New Roman" w:cs="Times New Roman"/>
          <w:b/>
          <w:sz w:val="32"/>
        </w:rPr>
        <w:t xml:space="preserve"> </w:t>
      </w:r>
    </w:p>
    <w:p w:rsidR="001360CC" w:rsidRP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4"/>
          <w:szCs w:val="24"/>
        </w:rPr>
      </w:pPr>
    </w:p>
    <w:p w:rsidR="001360CC" w:rsidRP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4"/>
          <w:szCs w:val="24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 xml:space="preserve">Об утверждении системы мониторинга </w:t>
      </w:r>
      <w:bookmarkStart w:id="0" w:name="_GoBack"/>
      <w:bookmarkEnd w:id="0"/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 xml:space="preserve">состояния системы теплоснабжения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 xml:space="preserve">на территории муниципального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>образования город Боготол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  <w:r>
        <w:t>В соответствии с Федеральным законом от 27.07.2010 № 190-ФЗ «О теплоснабжении», ч. 4 ст. 15 Федерального закона от 06.10.2003 № 131-ФЗ «Об общих принципах организации местного самоуправления в Российской Федерации», руководствуясь ст. 43, ст. 71, ст. 72 Устава городского округа город Боготол Красноярского края, ПОСТАНОВЛЯЮ: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  <w:r>
        <w:t>1. Утвердить систему мониторинга состояния системы теплоснабжения на территории муниципального образования город Боготол согласно приложению к настоящему постановлению.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  <w:r>
        <w:t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</w:pPr>
      <w: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709"/>
        <w:rPr>
          <w:rFonts w:cs="Microsoft Sans Serif"/>
        </w:rPr>
      </w:pPr>
      <w:r>
        <w:t xml:space="preserve">4. </w:t>
      </w:r>
      <w:r>
        <w:rPr>
          <w:rFonts w:eastAsia="SimSun"/>
        </w:rPr>
        <w:t>Постановление вступает в силу в день, следующий за днем его официального опубликования</w:t>
      </w:r>
      <w:r>
        <w:t>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>Исполняющий полномочия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  <w:r>
        <w:t>Главы города Боготола                                                                     А.А. Шитиков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  <w:r>
        <w:rPr>
          <w:sz w:val="20"/>
          <w:szCs w:val="20"/>
        </w:rPr>
        <w:t>Чибисова Вера Петровна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  <w:r>
        <w:rPr>
          <w:sz w:val="20"/>
          <w:szCs w:val="20"/>
        </w:rPr>
        <w:t>Рубцов Виктор Михайлович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  <w:r>
        <w:rPr>
          <w:sz w:val="20"/>
          <w:szCs w:val="20"/>
        </w:rPr>
        <w:t>2-14-60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4962"/>
      </w:pPr>
      <w:r>
        <w:lastRenderedPageBreak/>
        <w:t xml:space="preserve">Приложение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4962"/>
      </w:pPr>
      <w:r>
        <w:t xml:space="preserve">к постановлению администрации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49" w:firstLine="4962"/>
      </w:pPr>
      <w:r>
        <w:t>города Боготола</w:t>
      </w:r>
    </w:p>
    <w:p w:rsidR="001360CC" w:rsidRPr="0058638A" w:rsidRDefault="006F2085" w:rsidP="001360CC">
      <w:pPr>
        <w:pStyle w:val="60"/>
        <w:shd w:val="clear" w:color="auto" w:fill="auto"/>
        <w:spacing w:after="0" w:line="240" w:lineRule="auto"/>
        <w:ind w:right="49" w:firstLine="4962"/>
        <w:rPr>
          <w:u w:val="single"/>
        </w:rPr>
      </w:pPr>
      <w:r>
        <w:t xml:space="preserve">от « </w:t>
      </w:r>
      <w:r w:rsidRPr="00EB717F">
        <w:rPr>
          <w:u w:val="single"/>
        </w:rPr>
        <w:t>0</w:t>
      </w:r>
      <w:r>
        <w:rPr>
          <w:u w:val="single"/>
        </w:rPr>
        <w:t>4</w:t>
      </w:r>
      <w:r>
        <w:t xml:space="preserve"> » __</w:t>
      </w:r>
      <w:r w:rsidRPr="00EB717F">
        <w:rPr>
          <w:u w:val="single"/>
        </w:rPr>
        <w:t>12</w:t>
      </w:r>
      <w:r>
        <w:t xml:space="preserve">__ 2024 г. № </w:t>
      </w:r>
      <w:r>
        <w:rPr>
          <w:u w:val="single"/>
        </w:rPr>
        <w:t>1427</w:t>
      </w:r>
      <w:r>
        <w:rPr>
          <w:u w:val="single"/>
        </w:rPr>
        <w:t>-п</w:t>
      </w:r>
      <w:r w:rsidR="001360CC">
        <w:t xml:space="preserve">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jc w:val="center"/>
      </w:pPr>
      <w:r>
        <w:t>СИСТЕМА МОНИТОРИНГА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jc w:val="center"/>
      </w:pPr>
      <w:r>
        <w:t>состояния системы теплоснабжения на территории</w:t>
      </w:r>
      <w:r>
        <w:br/>
        <w:t>муниципального образования город Боготол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1. Настоящая система мониторинга состояния системы теплоснабжения на территории муниципального образования город Боготол определяет взаимодействие администрации города Боготола, теплоснабжающих и теплосетевых организаций, осуществляющих деятельность на территории муниципального образования город Боготол.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2. Система мониторинга состояния системы теплоснабжения - это комплексная система наблюдений, оценки состояния тепловых сетей, источников тепла и потребителей тепла (далее - система мониторинга).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3. Мониторинг - процесс, обеспечивающий постоянное оперативное получение достоверной информации о функционировании объектов теплоснабжения.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4. Мониторинг осуществляется в целях анализа и оценки выполнения плановых мероприятий и представляет собой механизм координации действий органов местного самоуправления, теплоснабжающих и теплосетевых организаций.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5. Основными задачами системы мониторинга являются сбор, обработка и анализ данных о состоянии объектов теплоснабжения в течение отопительного периода, об аварийности на объектах теплоснабжения и проводимых на них ремонтных работах.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6. Целями создания мониторинга являются повышение надежности и безопасности, совершенствование и развитие систем теплоснабжения.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7. Функционирование системы мониторинга осуществляется на объектовом и муниципальном уровне путем систематизации и оценки предоставленной информации теплоснабжающими компаниями.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8. На муниципальном уровне организационно-методическое руководство и координацию деятельности системы мониторинга осуществляет администрация города Боготола.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9. На объектовом уровне организационно-методическое руководство и координацию деятельности системы мониторинга осуществляют теплоснабжающие организации.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10. Система мониторинга включает в себя: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- сбор и предоставление данных;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- обработка и хранение данных;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lastRenderedPageBreak/>
        <w:t>- анализ данных мониторинга.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11. Сбор, хранение и обработка данных организуется на бумажных и (или) электронных носителях.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</w:pPr>
      <w:r>
        <w:t>12. Теплоснабжающие организации ежемесячно до 5 числа месяца, следующего за отчетным, представляет в администрацию города Боготола в электронном виде и (или) на бумажном носителе информацию по каждой системе теплоснабжения муниципального образования город Боготол по форме согласно приложению к системе мониторинга.</w:t>
      </w:r>
    </w:p>
    <w:p w:rsidR="001360CC" w:rsidRDefault="001360CC" w:rsidP="001360C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1360CC">
          <w:pgSz w:w="12240" w:h="15840"/>
          <w:pgMar w:top="1134" w:right="1134" w:bottom="1134" w:left="1701" w:header="0" w:footer="3" w:gutter="0"/>
          <w:cols w:space="720"/>
        </w:sectPr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580" w:firstLine="992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580" w:firstLine="992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системе мониторинга состояния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580" w:firstLine="9923"/>
        <w:jc w:val="left"/>
        <w:rPr>
          <w:sz w:val="24"/>
          <w:szCs w:val="24"/>
        </w:rPr>
      </w:pPr>
      <w:r>
        <w:rPr>
          <w:sz w:val="24"/>
          <w:szCs w:val="24"/>
        </w:rPr>
        <w:t>системы теплоснабжения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580" w:firstLine="992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 территории муниципального 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right="580" w:firstLine="9923"/>
        <w:jc w:val="left"/>
        <w:rPr>
          <w:sz w:val="24"/>
          <w:szCs w:val="24"/>
        </w:rPr>
      </w:pPr>
      <w:r>
        <w:rPr>
          <w:sz w:val="24"/>
          <w:szCs w:val="24"/>
        </w:rPr>
        <w:t>образования город Боготол</w:t>
      </w: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rPr>
          <w:b w:val="0"/>
        </w:rPr>
      </w:pP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rPr>
          <w:b w:val="0"/>
        </w:rPr>
      </w:pP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rPr>
          <w:b w:val="0"/>
        </w:rPr>
      </w:pPr>
      <w:r>
        <w:rPr>
          <w:b w:val="0"/>
        </w:rPr>
        <w:t>МОНИТОРИНГ</w:t>
      </w: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rPr>
          <w:b w:val="0"/>
        </w:rPr>
      </w:pPr>
      <w:r>
        <w:rPr>
          <w:b w:val="0"/>
        </w:rPr>
        <w:t>объектов и систем теплоснабжения на территории муниципального образования город Боготола</w:t>
      </w: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rPr>
          <w:b w:val="0"/>
        </w:rPr>
      </w:pPr>
      <w:r>
        <w:rPr>
          <w:b w:val="0"/>
        </w:rPr>
        <w:t>по состоянию на ___________________</w:t>
      </w: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jc w:val="left"/>
        <w:rPr>
          <w:b w:val="0"/>
        </w:rPr>
      </w:pPr>
    </w:p>
    <w:p w:rsidR="001360CC" w:rsidRDefault="001360CC" w:rsidP="001360CC">
      <w:pPr>
        <w:pStyle w:val="30"/>
        <w:shd w:val="clear" w:color="auto" w:fill="auto"/>
        <w:tabs>
          <w:tab w:val="left" w:leader="underscore" w:pos="15278"/>
        </w:tabs>
        <w:spacing w:after="0" w:line="240" w:lineRule="auto"/>
        <w:jc w:val="left"/>
        <w:rPr>
          <w:b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1380"/>
        <w:gridCol w:w="1270"/>
        <w:gridCol w:w="1298"/>
        <w:gridCol w:w="1534"/>
        <w:gridCol w:w="1634"/>
        <w:gridCol w:w="1786"/>
        <w:gridCol w:w="1634"/>
        <w:gridCol w:w="1634"/>
        <w:gridCol w:w="1781"/>
      </w:tblGrid>
      <w:tr w:rsidR="001360CC" w:rsidTr="001360CC">
        <w:trPr>
          <w:trHeight w:val="450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Адрес котельной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Запас топлива м</w:t>
            </w:r>
            <w:r>
              <w:rPr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Запас топлива, суток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Температура наружного воздуха, </w:t>
            </w:r>
            <w:r>
              <w:rPr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Температура сетевой воды, </w:t>
            </w:r>
            <w:r>
              <w:rPr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Давление, мПа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Объем теплоносителя, т/ч</w:t>
            </w:r>
          </w:p>
        </w:tc>
      </w:tr>
      <w:tr w:rsidR="001360CC" w:rsidTr="001360CC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подающем трубопроводе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обратном трубопроводе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подающем трубопроводе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обратном трубопроводе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CC" w:rsidRDefault="001360C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1360CC" w:rsidTr="00136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360CC" w:rsidTr="00136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360CC" w:rsidTr="00136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CC" w:rsidRDefault="001360CC">
            <w:pPr>
              <w:pStyle w:val="30"/>
              <w:shd w:val="clear" w:color="auto" w:fill="auto"/>
              <w:tabs>
                <w:tab w:val="left" w:leader="underscore" w:pos="15278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1360CC" w:rsidRDefault="001360CC" w:rsidP="001360CC">
      <w:pPr>
        <w:pStyle w:val="60"/>
        <w:shd w:val="clear" w:color="auto" w:fill="auto"/>
        <w:spacing w:after="0" w:line="240" w:lineRule="auto"/>
        <w:rPr>
          <w:color w:val="auto"/>
        </w:rPr>
      </w:pPr>
    </w:p>
    <w:p w:rsidR="001360CC" w:rsidRDefault="001360CC" w:rsidP="001360CC">
      <w:pPr>
        <w:pStyle w:val="60"/>
        <w:shd w:val="clear" w:color="auto" w:fill="auto"/>
        <w:spacing w:after="0" w:line="240" w:lineRule="auto"/>
      </w:pP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наличии за отчетный период указать: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Данные о проведенных ремонтных работах на объектах теплоснабжения;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 Данные об аварийных ситуациях, возникших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период отключения и перечень отключенных потребителей.</w:t>
      </w:r>
    </w:p>
    <w:p w:rsidR="001360CC" w:rsidRDefault="001360CC" w:rsidP="001360CC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 Данные о вводе в эксплуатацию законченного строительства, расширения, реконструкции, технического перевооружения объектов теплоснабжения</w:t>
      </w:r>
    </w:p>
    <w:p w:rsidR="00E35ECF" w:rsidRPr="001360CC" w:rsidRDefault="00E35ECF" w:rsidP="001360CC"/>
    <w:sectPr w:rsidR="00E35ECF" w:rsidRPr="001360CC" w:rsidSect="00D87F45">
      <w:headerReference w:type="default" r:id="rId8"/>
      <w:headerReference w:type="first" r:id="rId9"/>
      <w:pgSz w:w="16840" w:h="11900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DB" w:rsidRDefault="00E350DB">
      <w:r>
        <w:separator/>
      </w:r>
    </w:p>
  </w:endnote>
  <w:endnote w:type="continuationSeparator" w:id="0">
    <w:p w:rsidR="00E350DB" w:rsidRDefault="00E3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DB" w:rsidRDefault="00E350DB"/>
  </w:footnote>
  <w:footnote w:type="continuationSeparator" w:id="0">
    <w:p w:rsidR="00E350DB" w:rsidRDefault="00E350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ECF" w:rsidRDefault="00E350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7.2pt;margin-top:37.45pt;width:5.05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ECF" w:rsidRDefault="00E35EC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ECF" w:rsidRDefault="00E350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3pt;margin-top:13.15pt;width:4.5pt;height:7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ECF" w:rsidRDefault="00E35EC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237F8"/>
    <w:multiLevelType w:val="hybridMultilevel"/>
    <w:tmpl w:val="191208A2"/>
    <w:lvl w:ilvl="0" w:tplc="5944E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E23130"/>
    <w:multiLevelType w:val="multilevel"/>
    <w:tmpl w:val="7A406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F90926"/>
    <w:multiLevelType w:val="multilevel"/>
    <w:tmpl w:val="5698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B0047C"/>
    <w:multiLevelType w:val="multilevel"/>
    <w:tmpl w:val="4FF28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797D94"/>
    <w:multiLevelType w:val="multilevel"/>
    <w:tmpl w:val="C922B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35ECF"/>
    <w:rsid w:val="001360CC"/>
    <w:rsid w:val="0058638A"/>
    <w:rsid w:val="00631474"/>
    <w:rsid w:val="006F2085"/>
    <w:rsid w:val="00884857"/>
    <w:rsid w:val="00A43E4C"/>
    <w:rsid w:val="00A70229"/>
    <w:rsid w:val="00AE55C0"/>
    <w:rsid w:val="00B777EB"/>
    <w:rsid w:val="00D87F45"/>
    <w:rsid w:val="00E350DB"/>
    <w:rsid w:val="00E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160C24-6782-4076-8808-F4A78B9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Verdana85pt">
    <w:name w:val="Основной текст (7) + Verdana;8;5 pt;Курсив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3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320" w:line="277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314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1474"/>
    <w:rPr>
      <w:color w:val="000000"/>
    </w:rPr>
  </w:style>
  <w:style w:type="paragraph" w:styleId="a8">
    <w:name w:val="footer"/>
    <w:basedOn w:val="a"/>
    <w:link w:val="a9"/>
    <w:uiPriority w:val="99"/>
    <w:unhideWhenUsed/>
    <w:rsid w:val="006314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474"/>
    <w:rPr>
      <w:color w:val="000000"/>
    </w:rPr>
  </w:style>
  <w:style w:type="table" w:styleId="aa">
    <w:name w:val="Table Grid"/>
    <w:basedOn w:val="a1"/>
    <w:uiPriority w:val="39"/>
    <w:rsid w:val="00D87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777E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863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3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Silina LA</cp:lastModifiedBy>
  <cp:revision>7</cp:revision>
  <cp:lastPrinted>2024-12-04T09:01:00Z</cp:lastPrinted>
  <dcterms:created xsi:type="dcterms:W3CDTF">2024-11-08T07:48:00Z</dcterms:created>
  <dcterms:modified xsi:type="dcterms:W3CDTF">2024-12-04T09:02:00Z</dcterms:modified>
</cp:coreProperties>
</file>