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93" w:rsidRDefault="000B4DD7" w:rsidP="00FA3E9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E93" w:rsidRDefault="00FA3E93" w:rsidP="00FA3E93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FA3E93" w:rsidRDefault="00FA3E93" w:rsidP="00FA3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FA3E93" w:rsidRDefault="00FA3E93" w:rsidP="00F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FA3E93" w:rsidRDefault="00FA3E93" w:rsidP="00F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A3E93" w:rsidRDefault="00FA3E93" w:rsidP="00F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A3E93" w:rsidRDefault="00FA3E93" w:rsidP="00FA3E9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FA3E93" w:rsidRDefault="00FA3E93" w:rsidP="00FA3E9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A07A4D">
        <w:rPr>
          <w:rFonts w:ascii="Times New Roman" w:hAnsi="Times New Roman" w:cs="Times New Roman"/>
          <w:b/>
          <w:sz w:val="32"/>
        </w:rPr>
        <w:t>23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A07A4D" w:rsidRPr="00A07A4D">
        <w:rPr>
          <w:rFonts w:ascii="Times New Roman" w:hAnsi="Times New Roman" w:cs="Times New Roman"/>
          <w:b/>
          <w:sz w:val="32"/>
          <w:u w:val="single"/>
        </w:rPr>
        <w:t>01</w:t>
      </w:r>
      <w:r>
        <w:rPr>
          <w:rFonts w:ascii="Times New Roman" w:hAnsi="Times New Roman" w:cs="Times New Roman"/>
          <w:b/>
          <w:sz w:val="32"/>
        </w:rPr>
        <w:t xml:space="preserve">___2024   г.  </w:t>
      </w:r>
      <w:r w:rsidR="00A07A4D">
        <w:rPr>
          <w:rFonts w:ascii="Times New Roman" w:hAnsi="Times New Roman" w:cs="Times New Roman"/>
          <w:b/>
          <w:sz w:val="32"/>
        </w:rPr>
        <w:t xml:space="preserve">   </w:t>
      </w:r>
      <w:r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A07A4D">
        <w:rPr>
          <w:rFonts w:ascii="Times New Roman" w:hAnsi="Times New Roman" w:cs="Times New Roman"/>
          <w:b/>
          <w:sz w:val="32"/>
        </w:rPr>
        <w:t xml:space="preserve"> 0052-п</w:t>
      </w:r>
    </w:p>
    <w:p w:rsidR="00FA3E93" w:rsidRDefault="00FA3E93" w:rsidP="00FA3E9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A3E93" w:rsidRDefault="00FA3E93" w:rsidP="00FA3E9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A3E93" w:rsidRDefault="00FA3E93" w:rsidP="00FA3E9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учреждений города Боготола»</w:t>
      </w:r>
    </w:p>
    <w:bookmarkEnd w:id="0"/>
    <w:p w:rsidR="00FA3E93" w:rsidRDefault="00FA3E93" w:rsidP="00FA3E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решением Боготольского городского Совета депутатов от 13.12.2018          № 14-183 «Об утверждении Положения о системах оплаты труда работников муниципальных учреждений города Боготола», руководствуясь п. 10 ст. 41, ст. 71, ст. 72, ст. 73 Устава городского округа город Боготол Красноярского края, ПОСТАНОВЛЯЮ:</w:t>
      </w:r>
    </w:p>
    <w:p w:rsidR="00FA3E93" w:rsidRDefault="00FA3E93" w:rsidP="00FA3E9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учреждений города Боготола» следующие изменения: </w:t>
      </w:r>
    </w:p>
    <w:p w:rsidR="00FA3E93" w:rsidRDefault="00FA3E93" w:rsidP="00FA3E9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В приложении к постановлению:</w:t>
      </w:r>
    </w:p>
    <w:p w:rsidR="00FA3E93" w:rsidRDefault="00FA3E93" w:rsidP="00FA3E9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1.1.1. Положение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учреждений города Боготола изложить в новой редакции согласно приложения к настоящему постановлению. 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 в сети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Интернет и опубликовать в официальном печатном издании газете «Земля боготольская».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в день, следующий за днем его официального опубликования и распространяет свое действие на правоотношения, возникшие с 01.01.2024.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12.3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к настоящему постановлению действует до 31.12.2024 включительно.</w:t>
      </w: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Е.М. Деменкова</w:t>
      </w:r>
    </w:p>
    <w:p w:rsidR="00FA3E93" w:rsidRDefault="00FA3E93" w:rsidP="00FA3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E93" w:rsidRDefault="00FA3E93" w:rsidP="00FA3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Сысоева Татьяна Валерьевна</w:t>
      </w: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2-49-54</w:t>
      </w: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Войтеховская Ирина Сергеевна</w:t>
      </w: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2-16-91</w:t>
      </w:r>
    </w:p>
    <w:p w:rsidR="00FA3E93" w:rsidRDefault="00FA3E93" w:rsidP="00FA3E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экз.</w:t>
      </w:r>
    </w:p>
    <w:p w:rsidR="00FA3E93" w:rsidRDefault="00FA3E93" w:rsidP="00FA3E93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A3E93" w:rsidRDefault="00FA3E93" w:rsidP="00FA3E93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A3E93" w:rsidRDefault="00FA3E93" w:rsidP="00FA3E93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FA3E93" w:rsidRPr="00A07A4D" w:rsidRDefault="00FA3E93" w:rsidP="00FA3E93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A07A4D" w:rsidRPr="00A07A4D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>_» __</w:t>
      </w:r>
      <w:r w:rsidR="00A07A4D" w:rsidRPr="00A07A4D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A07A4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A07A4D" w:rsidRPr="00A07A4D">
        <w:rPr>
          <w:rFonts w:ascii="Times New Roman" w:hAnsi="Times New Roman" w:cs="Times New Roman"/>
          <w:sz w:val="28"/>
          <w:szCs w:val="28"/>
          <w:u w:val="single"/>
        </w:rPr>
        <w:t>0052-п</w:t>
      </w:r>
    </w:p>
    <w:p w:rsidR="00FA3E93" w:rsidRPr="00A07A4D" w:rsidRDefault="00FA3E93" w:rsidP="00FA3E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:rsidR="00FA3E93" w:rsidRDefault="00FA3E93" w:rsidP="00FA3E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ПОЛОЖЕНИЕ </w:t>
      </w:r>
    </w:p>
    <w:p w:rsidR="00FA3E93" w:rsidRDefault="00FA3E93" w:rsidP="00FA3E9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учреждений города Боготола</w:t>
      </w:r>
    </w:p>
    <w:p w:rsidR="00FA3E93" w:rsidRDefault="00FA3E93" w:rsidP="00FA3E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 муниципальных  бюджетных и казенных образовательных учреждений города Боготола (далее - Положение), регулируют отношения, возникающие между муниципальными бюджетными и казенными образовательными учреждениями города Боготола (далее - учреждения) и их работниками, в связи с предоставлением работникам выплат стимулирующего характера, по виду экономической деятельности "Образование".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выплатам стимулирующего характера относятся выплаты, направленные на стимулирование работников учреждений за качественные результаты труда, а также поощрение за выполненную работу.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Выплаты стимулирующего характера устанавливаются коллективными договорами, локальными нормативными актами учреждения с учетом мнения представительного органа работников.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Работникам учреждения по решению руководителя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оплату труда работников, могут устанавливаться следующие виды выплат стимулирующего характера: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за интенсивность и высокие результаты работы;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за качество выполняемых работ;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персональные выплаты (с учетом сложности, напряженности и особого режима работы, опыта работы, повышения уровня оплаты труда молодым специалистам, обеспечения заработной платы работника учреждения на уровне размера минимальной заработной платы (минимального размера оплаты труда), обеспечения региональной выплаты;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по итогам работы;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специальная краевая выплата.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Виды, условия, размер выплат стимулирующего характера и критерии оценки результативности и качества труда работников учреждения устанавливаются в соответствии с </w:t>
      </w:r>
      <w:hyperlink r:id="rId6" w:history="1">
        <w:r>
          <w:rPr>
            <w:rStyle w:val="a3"/>
            <w:color w:val="000000"/>
            <w:sz w:val="28"/>
            <w:szCs w:val="28"/>
          </w:rPr>
          <w:t>приложением №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выплат, предусмотренных настоящим пунктом, учреждениями могут применяться иные критерии оценки результативности и качества труда работников, не предусмотренные </w:t>
      </w:r>
      <w:hyperlink r:id="rId7" w:history="1">
        <w:r>
          <w:rPr>
            <w:rStyle w:val="a3"/>
            <w:color w:val="000000"/>
            <w:sz w:val="28"/>
            <w:szCs w:val="28"/>
          </w:rPr>
          <w:t>приложениями №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>
          <w:rPr>
            <w:rStyle w:val="a3"/>
            <w:color w:val="000000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Виды выплат должны отвечать уставным задачам учреждения.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стимулирующего характера максимальным размером не ограничены и устанавливаются в пределах фонда оплаты труда.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Размер персональных выплат определяется в процентном отношении к окладу (должностному окладу), ставке заработной платы, без учета повышающих коэффициентов. Персональные выплаты работникам устанавливается в соответствии с </w:t>
      </w:r>
      <w:hyperlink r:id="rId9" w:history="1">
        <w:r>
          <w:rPr>
            <w:rStyle w:val="a3"/>
            <w:color w:val="000000"/>
            <w:sz w:val="28"/>
            <w:szCs w:val="28"/>
          </w:rPr>
          <w:t>приложением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и не подлежат дифференцированию. 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обязанностей), ниже размера минимальной заработной платы, установленного в Красноярском крае, в размере, определяемом как разница между размером минимальной заработной платы, установленным в Красноярском крае, и величиной заработной платы конкретного работника учреждения за соответствующий период времени.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Работникам, месячная заработная плата которых при полностью отработанной норме рабочего времени и выполненной норме труда (трудовых обязанностей) ниже размера заработной платы, установленного в Красноярском крае, предоставляется региональная выплата. 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выплата для работника рассчитывается как разница между размером заработной платы, установленным в Красноярском крае, и месячной заработной платой конкретного работника при полностью отработанной норме рабочего времени и выполненной норме труда (трудовых обязанностей).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Работникам, месячная заработная плата которых по основному месту работы при не полностью отработанной норме рабочего времени ниже размера заработной платы, установленного в Красноярском крае, исчисленного пропорционально отработанному работником времени, устанавливается региональная выплата, размер которой для каждого работника, определяется как разница между размером заработной платы, установленным в Красноярском крае, исчисленным пропорционально отработанному работником времени, и величиной заработной платы конкретного работника за соответствующий период времени. 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Красноярском крае (в случае ее осуществления).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выплатах по итогам работы учитываются: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освоения выделенных бюджетных средств;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ввода законченных ремонтом объектов;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инициатива, творчество и применение в работе современных форм и методов организации труда;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порученной работы, связанной с обеспечением рабочего процесса или уставной деятельности учреждения;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достижение высоких результатов в работе за определенный период;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инновационной деятельности;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соответствующем периоде в выполнении важных работ, мероприятий.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>
          <w:rPr>
            <w:rStyle w:val="a3"/>
            <w:color w:val="000000"/>
            <w:sz w:val="28"/>
            <w:szCs w:val="28"/>
          </w:rPr>
          <w:t>Размер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выплат по итогам работы работникам учреждений устанавливается в соответствии с приложением № 3 к настоящему Положению.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Максимальным размером выплаты по итогам работы не ограничены и устанавливаются в пределах фонда оплаты труда.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Руководитель учреждения при рассмотрении вопроса о стимулировании работника вправе учитывать аналитическую информацию органов самоуправления учреждений, в том числе общественных советов учреждений, представительного органа работников (при наличии такого представительного органа).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Конкретный размер выплат стимулирующего характера (за исключением персональных выплат) устанавливается в абсолютном размере, с учетом фактически отработанного времени.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Стимулирующие выплаты, за исключением выплат по итогам работы, устанавливаются руководителем учреждения ежемесячно, ежеквартально или на год.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 установлении размера выплат стимулирующего характера конкретному работнику (за исключением персональных выплат) учреждения применяют балльную оценку.</w:t>
      </w:r>
    </w:p>
    <w:p w:rsidR="00FA3E93" w:rsidRDefault="00FA3E93" w:rsidP="00FA3E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выплаты, осуществляемой конкретному работнику учреждения, определяется по формуле: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= С </w:t>
      </w:r>
      <w:r>
        <w:rPr>
          <w:rFonts w:ascii="Times New Roman" w:hAnsi="Times New Roman" w:cs="Times New Roman"/>
          <w:sz w:val="28"/>
          <w:szCs w:val="28"/>
          <w:vertAlign w:val="subscript"/>
        </w:rPr>
        <w:t>1 балла</w:t>
      </w:r>
      <w:r>
        <w:rPr>
          <w:rFonts w:ascii="Times New Roman" w:hAnsi="Times New Roman" w:cs="Times New Roman"/>
          <w:sz w:val="28"/>
          <w:szCs w:val="28"/>
        </w:rPr>
        <w:t xml:space="preserve"> х Б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– размер выплаты, осуществляемой конкретному работнику учреждения в плановом периоде;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 балла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стоимость для определения размеров стимулирующих выплат  на плановый период;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A3E9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количество баллов по результатам оценки труда i-го работника учреждения, исчисленное в суммовом выражении по показателям оценки </w:t>
      </w:r>
      <w:r>
        <w:rPr>
          <w:rFonts w:ascii="Times New Roman" w:hAnsi="Times New Roman" w:cs="Times New Roman"/>
          <w:sz w:val="28"/>
          <w:szCs w:val="28"/>
        </w:rPr>
        <w:br/>
        <w:t>за отчетный период.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=1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балла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стим. раб.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SUM</w:t>
      </w:r>
      <w:r>
        <w:rPr>
          <w:rFonts w:ascii="Times New Roman" w:hAnsi="Times New Roman" w:cs="Times New Roman"/>
          <w:sz w:val="28"/>
          <w:szCs w:val="28"/>
        </w:rPr>
        <w:t xml:space="preserve"> Б, 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ni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стим. раб.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фонд оплаты труда, предназначенный для осуществления стимулирующих выплат работникам учреждения в месяц в плановом периоде;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– количество физических лиц учреждения, подлежащих оценке </w:t>
      </w:r>
      <w:r>
        <w:rPr>
          <w:rFonts w:ascii="Times New Roman" w:hAnsi="Times New Roman" w:cs="Times New Roman"/>
          <w:sz w:val="28"/>
          <w:szCs w:val="28"/>
        </w:rPr>
        <w:br/>
        <w:t>за отчетный период (год, квартал, месяц), за исключением руководителя учреждения.</w:t>
      </w:r>
    </w:p>
    <w:p w:rsidR="00FA3E93" w:rsidRDefault="00FA3E93" w:rsidP="00FA3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стим раб.</w:t>
      </w:r>
      <w:r>
        <w:rPr>
          <w:rFonts w:ascii="Times New Roman" w:hAnsi="Times New Roman" w:cs="Times New Roman"/>
          <w:sz w:val="28"/>
          <w:szCs w:val="28"/>
        </w:rPr>
        <w:t xml:space="preserve"> = Q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>
        <w:rPr>
          <w:rFonts w:ascii="Times New Roman" w:hAnsi="Times New Roman" w:cs="Times New Roman"/>
          <w:sz w:val="28"/>
          <w:szCs w:val="28"/>
        </w:rPr>
        <w:t xml:space="preserve"> - Q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>
        <w:rPr>
          <w:rFonts w:ascii="Times New Roman" w:hAnsi="Times New Roman" w:cs="Times New Roman"/>
          <w:sz w:val="28"/>
          <w:szCs w:val="28"/>
        </w:rPr>
        <w:t xml:space="preserve"> - Q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>
        <w:rPr>
          <w:rFonts w:ascii="Times New Roman" w:hAnsi="Times New Roman" w:cs="Times New Roman"/>
          <w:sz w:val="28"/>
          <w:szCs w:val="28"/>
        </w:rPr>
        <w:t xml:space="preserve"> - фонд оплаты труда работникам учреждения, состоящий из установленных работникам окладов (должностных окладов), ставок заработной платы с учетом повышающих коэффициентов, выплат стимулирующего и компенсационного характера, утвержденный в бюджетной смете (плане финансово-хозяйственной деятельности) учреждения, на месяц в плановом периоде;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>
        <w:rPr>
          <w:rFonts w:ascii="Times New Roman" w:hAnsi="Times New Roman" w:cs="Times New Roman"/>
          <w:sz w:val="28"/>
          <w:szCs w:val="28"/>
        </w:rPr>
        <w:t xml:space="preserve"> - гарантированный фонд оплаты труда (сумма заработной платы работников по бюджетной смете (плану финансово-хозяйственной деятельности) окладов (должностных окладов), ставок заработной платы учреждения с учетом повышающих коэффициентов, сумм выплат компенсационного характера и персональных выплат стимулирующего характера, определенный согласно штатному расписанию учреждения, на месяц в плановом периоде);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>
        <w:rPr>
          <w:rFonts w:ascii="Times New Roman" w:hAnsi="Times New Roman" w:cs="Times New Roman"/>
          <w:sz w:val="28"/>
          <w:szCs w:val="28"/>
        </w:rPr>
        <w:t xml:space="preserve"> - сумма средств, направляемая в резерв для оплаты отпусков,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 на месяц в плановом периоде.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Специальная краевая выплата устанавливается в целях повышения уровня оплаты труда.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FA3E93" w:rsidRDefault="00FA3E93" w:rsidP="00FA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FA3E93" w:rsidRDefault="00FA3E93" w:rsidP="00FA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FA3E93" w:rsidRDefault="00FA3E93" w:rsidP="00FA3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увеличивается на размер, рассчитываемый по формуле:</w:t>
      </w:r>
      <w:bookmarkStart w:id="1" w:name="Par2"/>
      <w:bookmarkEnd w:id="1"/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СКВув = Отп x Кув–Отп, (1)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СКВув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 – коэффициент увеличения специальной краевой выплаты.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2024 года, Кув определяется по формуле:</w:t>
      </w:r>
      <w:bookmarkStart w:id="2" w:name="Par13"/>
      <w:bookmarkEnd w:id="2"/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 = (Зпф1 + (СКВ х Кмес х Крк) + Зпф2) / (Зпф1 + Зпф2), (2)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Зпф2 – фактически начисленная заработная плата работника учреждения, учитываемая при определении среднего дневного заработка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нормативными правовыми актами Российской Федерации, за период с 1 января 2024 года;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 – специальная краевая выплата;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FA3E93" w:rsidRDefault="00FA3E93" w:rsidP="00FA3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E93" w:rsidRDefault="00FA3E93" w:rsidP="00FA3E93">
      <w:pPr>
        <w:pStyle w:val="ConsPlusNormal"/>
        <w:widowControl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</w:p>
    <w:p w:rsidR="00FA3E93" w:rsidRDefault="00FA3E93" w:rsidP="00FA3E93">
      <w:pPr>
        <w:pStyle w:val="ConsPlusNormal"/>
        <w:widowControl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</w:p>
    <w:p w:rsidR="00FA3E93" w:rsidRDefault="00FA3E93" w:rsidP="00FA3E93">
      <w:pPr>
        <w:pStyle w:val="ConsPlusNormal"/>
        <w:widowControl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</w:p>
    <w:p w:rsidR="00FA3E93" w:rsidRDefault="00FA3E93" w:rsidP="00FA3E93">
      <w:pPr>
        <w:pStyle w:val="ConsPlusNormal"/>
        <w:widowControl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</w:p>
    <w:p w:rsidR="00931E3A" w:rsidRPr="00FA3E93" w:rsidRDefault="00931E3A" w:rsidP="00FA3E93"/>
    <w:sectPr w:rsidR="00931E3A" w:rsidRPr="00FA3E93" w:rsidSect="0080574D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E"/>
    <w:rsid w:val="00002709"/>
    <w:rsid w:val="000037F0"/>
    <w:rsid w:val="00003879"/>
    <w:rsid w:val="00006295"/>
    <w:rsid w:val="00015CAD"/>
    <w:rsid w:val="00021AC6"/>
    <w:rsid w:val="000311EA"/>
    <w:rsid w:val="00031967"/>
    <w:rsid w:val="000337B0"/>
    <w:rsid w:val="000458C0"/>
    <w:rsid w:val="00061EFC"/>
    <w:rsid w:val="00063E1F"/>
    <w:rsid w:val="00071783"/>
    <w:rsid w:val="00075193"/>
    <w:rsid w:val="00077B97"/>
    <w:rsid w:val="00082B00"/>
    <w:rsid w:val="00093DDF"/>
    <w:rsid w:val="000A44ED"/>
    <w:rsid w:val="000B4DD7"/>
    <w:rsid w:val="000C502F"/>
    <w:rsid w:val="000C5BDD"/>
    <w:rsid w:val="000C65BE"/>
    <w:rsid w:val="000C7CBA"/>
    <w:rsid w:val="000D057E"/>
    <w:rsid w:val="000E1C87"/>
    <w:rsid w:val="000F7BA2"/>
    <w:rsid w:val="00112B72"/>
    <w:rsid w:val="00121881"/>
    <w:rsid w:val="00127732"/>
    <w:rsid w:val="00131850"/>
    <w:rsid w:val="00133356"/>
    <w:rsid w:val="00134DA4"/>
    <w:rsid w:val="001365B3"/>
    <w:rsid w:val="00146177"/>
    <w:rsid w:val="00147385"/>
    <w:rsid w:val="00150E69"/>
    <w:rsid w:val="00151037"/>
    <w:rsid w:val="00153920"/>
    <w:rsid w:val="00160057"/>
    <w:rsid w:val="00164A62"/>
    <w:rsid w:val="00172628"/>
    <w:rsid w:val="001913F9"/>
    <w:rsid w:val="00191A05"/>
    <w:rsid w:val="00193BFE"/>
    <w:rsid w:val="001A3D74"/>
    <w:rsid w:val="001B0D72"/>
    <w:rsid w:val="001B4BB6"/>
    <w:rsid w:val="001B6948"/>
    <w:rsid w:val="001C1565"/>
    <w:rsid w:val="001C1990"/>
    <w:rsid w:val="001C62E0"/>
    <w:rsid w:val="001E3847"/>
    <w:rsid w:val="001E5979"/>
    <w:rsid w:val="001F0ADD"/>
    <w:rsid w:val="001F205A"/>
    <w:rsid w:val="00201A0D"/>
    <w:rsid w:val="00211F25"/>
    <w:rsid w:val="0022259D"/>
    <w:rsid w:val="00226A00"/>
    <w:rsid w:val="00247F1C"/>
    <w:rsid w:val="002573BC"/>
    <w:rsid w:val="0025760D"/>
    <w:rsid w:val="00261801"/>
    <w:rsid w:val="00261FC8"/>
    <w:rsid w:val="002709F7"/>
    <w:rsid w:val="002A0D2A"/>
    <w:rsid w:val="002A4411"/>
    <w:rsid w:val="002A58EE"/>
    <w:rsid w:val="002A5CF4"/>
    <w:rsid w:val="002C0FB8"/>
    <w:rsid w:val="002C2E5C"/>
    <w:rsid w:val="002E16B9"/>
    <w:rsid w:val="002F2B49"/>
    <w:rsid w:val="00301622"/>
    <w:rsid w:val="00303FE9"/>
    <w:rsid w:val="00305A01"/>
    <w:rsid w:val="003110A7"/>
    <w:rsid w:val="00313E28"/>
    <w:rsid w:val="00315C27"/>
    <w:rsid w:val="00320A5A"/>
    <w:rsid w:val="00323AB7"/>
    <w:rsid w:val="00334680"/>
    <w:rsid w:val="003420DD"/>
    <w:rsid w:val="00346D8A"/>
    <w:rsid w:val="00352DE3"/>
    <w:rsid w:val="003647F2"/>
    <w:rsid w:val="00365469"/>
    <w:rsid w:val="00366568"/>
    <w:rsid w:val="00370F52"/>
    <w:rsid w:val="00373474"/>
    <w:rsid w:val="00377A4B"/>
    <w:rsid w:val="003818A3"/>
    <w:rsid w:val="00382931"/>
    <w:rsid w:val="00383EFE"/>
    <w:rsid w:val="00384AB2"/>
    <w:rsid w:val="0039017A"/>
    <w:rsid w:val="0039031B"/>
    <w:rsid w:val="0039584B"/>
    <w:rsid w:val="003B0981"/>
    <w:rsid w:val="003C6497"/>
    <w:rsid w:val="003D25D1"/>
    <w:rsid w:val="003D6A08"/>
    <w:rsid w:val="003E100C"/>
    <w:rsid w:val="003E2BA5"/>
    <w:rsid w:val="003E48A7"/>
    <w:rsid w:val="003F3190"/>
    <w:rsid w:val="003F7B9F"/>
    <w:rsid w:val="004006C0"/>
    <w:rsid w:val="00401471"/>
    <w:rsid w:val="004015B3"/>
    <w:rsid w:val="00402FFC"/>
    <w:rsid w:val="00403A9C"/>
    <w:rsid w:val="0040603C"/>
    <w:rsid w:val="00407713"/>
    <w:rsid w:val="0041044A"/>
    <w:rsid w:val="0042664F"/>
    <w:rsid w:val="00427CE8"/>
    <w:rsid w:val="004362EE"/>
    <w:rsid w:val="00443953"/>
    <w:rsid w:val="00457EEA"/>
    <w:rsid w:val="004616C1"/>
    <w:rsid w:val="004679BB"/>
    <w:rsid w:val="0047449E"/>
    <w:rsid w:val="004821B1"/>
    <w:rsid w:val="00482707"/>
    <w:rsid w:val="0048513D"/>
    <w:rsid w:val="00485AE1"/>
    <w:rsid w:val="00487E88"/>
    <w:rsid w:val="004A2656"/>
    <w:rsid w:val="004A61E8"/>
    <w:rsid w:val="004A7133"/>
    <w:rsid w:val="004B5C53"/>
    <w:rsid w:val="004B65A3"/>
    <w:rsid w:val="004C6005"/>
    <w:rsid w:val="004C7988"/>
    <w:rsid w:val="004D0BC3"/>
    <w:rsid w:val="004D34A7"/>
    <w:rsid w:val="005026AE"/>
    <w:rsid w:val="00547041"/>
    <w:rsid w:val="00550CAA"/>
    <w:rsid w:val="00560514"/>
    <w:rsid w:val="005727A1"/>
    <w:rsid w:val="00574534"/>
    <w:rsid w:val="0059069B"/>
    <w:rsid w:val="005A39A0"/>
    <w:rsid w:val="005B0062"/>
    <w:rsid w:val="005C7B3E"/>
    <w:rsid w:val="005D1065"/>
    <w:rsid w:val="005D1E89"/>
    <w:rsid w:val="005D2B33"/>
    <w:rsid w:val="005D6D62"/>
    <w:rsid w:val="005D7D4E"/>
    <w:rsid w:val="005E7AD6"/>
    <w:rsid w:val="005E7C74"/>
    <w:rsid w:val="005F0161"/>
    <w:rsid w:val="005F2F7C"/>
    <w:rsid w:val="005F5E4E"/>
    <w:rsid w:val="005F5E90"/>
    <w:rsid w:val="0060068F"/>
    <w:rsid w:val="00602EB0"/>
    <w:rsid w:val="00610F61"/>
    <w:rsid w:val="0061146E"/>
    <w:rsid w:val="0062330A"/>
    <w:rsid w:val="00623E81"/>
    <w:rsid w:val="00643863"/>
    <w:rsid w:val="00650755"/>
    <w:rsid w:val="00666506"/>
    <w:rsid w:val="006905F7"/>
    <w:rsid w:val="006A3706"/>
    <w:rsid w:val="006A40D0"/>
    <w:rsid w:val="006A6DA7"/>
    <w:rsid w:val="006B48BB"/>
    <w:rsid w:val="006C2065"/>
    <w:rsid w:val="006C5B02"/>
    <w:rsid w:val="006D0527"/>
    <w:rsid w:val="006D1AD2"/>
    <w:rsid w:val="006D58AE"/>
    <w:rsid w:val="006D6197"/>
    <w:rsid w:val="006E115C"/>
    <w:rsid w:val="006E398B"/>
    <w:rsid w:val="006E6C67"/>
    <w:rsid w:val="006E775F"/>
    <w:rsid w:val="00713AE7"/>
    <w:rsid w:val="007227D7"/>
    <w:rsid w:val="00726E11"/>
    <w:rsid w:val="00736776"/>
    <w:rsid w:val="00740BDD"/>
    <w:rsid w:val="00745BC4"/>
    <w:rsid w:val="007468E3"/>
    <w:rsid w:val="00755C25"/>
    <w:rsid w:val="00775F5D"/>
    <w:rsid w:val="00783183"/>
    <w:rsid w:val="00791CB1"/>
    <w:rsid w:val="00796C1A"/>
    <w:rsid w:val="007A11D4"/>
    <w:rsid w:val="007A6824"/>
    <w:rsid w:val="007B12A7"/>
    <w:rsid w:val="007B2B6D"/>
    <w:rsid w:val="007B7A24"/>
    <w:rsid w:val="007B7D89"/>
    <w:rsid w:val="007C2EA0"/>
    <w:rsid w:val="007C3312"/>
    <w:rsid w:val="007E0C2E"/>
    <w:rsid w:val="007E127C"/>
    <w:rsid w:val="0080574D"/>
    <w:rsid w:val="00805E53"/>
    <w:rsid w:val="00812CA3"/>
    <w:rsid w:val="008238D8"/>
    <w:rsid w:val="008256EA"/>
    <w:rsid w:val="008272E6"/>
    <w:rsid w:val="00832423"/>
    <w:rsid w:val="00835E8A"/>
    <w:rsid w:val="00846236"/>
    <w:rsid w:val="00850111"/>
    <w:rsid w:val="00850231"/>
    <w:rsid w:val="00850399"/>
    <w:rsid w:val="00864E58"/>
    <w:rsid w:val="00870B75"/>
    <w:rsid w:val="00874BE6"/>
    <w:rsid w:val="00882717"/>
    <w:rsid w:val="00896249"/>
    <w:rsid w:val="008A4C43"/>
    <w:rsid w:val="008A7485"/>
    <w:rsid w:val="008A7CE1"/>
    <w:rsid w:val="008B1D23"/>
    <w:rsid w:val="008B66B4"/>
    <w:rsid w:val="008C6BAA"/>
    <w:rsid w:val="008D0438"/>
    <w:rsid w:val="008D57EC"/>
    <w:rsid w:val="008E3259"/>
    <w:rsid w:val="008E3A6E"/>
    <w:rsid w:val="008F193E"/>
    <w:rsid w:val="008F26BB"/>
    <w:rsid w:val="008F27FE"/>
    <w:rsid w:val="009014AF"/>
    <w:rsid w:val="00905A12"/>
    <w:rsid w:val="00912569"/>
    <w:rsid w:val="009125D2"/>
    <w:rsid w:val="00931A6C"/>
    <w:rsid w:val="00931E3A"/>
    <w:rsid w:val="00936A59"/>
    <w:rsid w:val="009433D4"/>
    <w:rsid w:val="00950F96"/>
    <w:rsid w:val="00951959"/>
    <w:rsid w:val="009525F8"/>
    <w:rsid w:val="00954A90"/>
    <w:rsid w:val="00956E4F"/>
    <w:rsid w:val="00961E61"/>
    <w:rsid w:val="0097084A"/>
    <w:rsid w:val="00990912"/>
    <w:rsid w:val="00990ADF"/>
    <w:rsid w:val="00991CDC"/>
    <w:rsid w:val="009A0CE3"/>
    <w:rsid w:val="009A5018"/>
    <w:rsid w:val="009A655F"/>
    <w:rsid w:val="009B2790"/>
    <w:rsid w:val="009B7B59"/>
    <w:rsid w:val="009C644E"/>
    <w:rsid w:val="009D100F"/>
    <w:rsid w:val="009D1ACD"/>
    <w:rsid w:val="009F3AED"/>
    <w:rsid w:val="00A00813"/>
    <w:rsid w:val="00A0433D"/>
    <w:rsid w:val="00A07A4D"/>
    <w:rsid w:val="00A117F4"/>
    <w:rsid w:val="00A253B8"/>
    <w:rsid w:val="00A30F99"/>
    <w:rsid w:val="00A34F5C"/>
    <w:rsid w:val="00A466CA"/>
    <w:rsid w:val="00A472C3"/>
    <w:rsid w:val="00A52AF5"/>
    <w:rsid w:val="00A623F7"/>
    <w:rsid w:val="00A76DE2"/>
    <w:rsid w:val="00A7715E"/>
    <w:rsid w:val="00A82779"/>
    <w:rsid w:val="00A83C54"/>
    <w:rsid w:val="00A9063F"/>
    <w:rsid w:val="00A9163D"/>
    <w:rsid w:val="00A94A28"/>
    <w:rsid w:val="00AA28C6"/>
    <w:rsid w:val="00AB1560"/>
    <w:rsid w:val="00AC761D"/>
    <w:rsid w:val="00AD121A"/>
    <w:rsid w:val="00AF756A"/>
    <w:rsid w:val="00B0153C"/>
    <w:rsid w:val="00B06951"/>
    <w:rsid w:val="00B112B5"/>
    <w:rsid w:val="00B12D01"/>
    <w:rsid w:val="00B130B2"/>
    <w:rsid w:val="00B13607"/>
    <w:rsid w:val="00B17CD2"/>
    <w:rsid w:val="00B21D02"/>
    <w:rsid w:val="00B23C96"/>
    <w:rsid w:val="00B24582"/>
    <w:rsid w:val="00B254BA"/>
    <w:rsid w:val="00B45560"/>
    <w:rsid w:val="00B738D6"/>
    <w:rsid w:val="00B747CC"/>
    <w:rsid w:val="00B76675"/>
    <w:rsid w:val="00B91F5E"/>
    <w:rsid w:val="00B92AEC"/>
    <w:rsid w:val="00BA04C0"/>
    <w:rsid w:val="00BA3E36"/>
    <w:rsid w:val="00BC1E48"/>
    <w:rsid w:val="00BC2E9E"/>
    <w:rsid w:val="00BD4C41"/>
    <w:rsid w:val="00BE3ACB"/>
    <w:rsid w:val="00BF22FB"/>
    <w:rsid w:val="00BF509C"/>
    <w:rsid w:val="00C03834"/>
    <w:rsid w:val="00C042DB"/>
    <w:rsid w:val="00C146E2"/>
    <w:rsid w:val="00C1554E"/>
    <w:rsid w:val="00C1639D"/>
    <w:rsid w:val="00C2177B"/>
    <w:rsid w:val="00C2189A"/>
    <w:rsid w:val="00C223B9"/>
    <w:rsid w:val="00C36F04"/>
    <w:rsid w:val="00C40EDC"/>
    <w:rsid w:val="00C45F10"/>
    <w:rsid w:val="00C46C94"/>
    <w:rsid w:val="00C61F6D"/>
    <w:rsid w:val="00C73F31"/>
    <w:rsid w:val="00C7706D"/>
    <w:rsid w:val="00C866D7"/>
    <w:rsid w:val="00C8722A"/>
    <w:rsid w:val="00C93A18"/>
    <w:rsid w:val="00CA0288"/>
    <w:rsid w:val="00CA3345"/>
    <w:rsid w:val="00CB28AC"/>
    <w:rsid w:val="00CC1E84"/>
    <w:rsid w:val="00CC7A80"/>
    <w:rsid w:val="00CD229F"/>
    <w:rsid w:val="00CF1AF4"/>
    <w:rsid w:val="00CF2605"/>
    <w:rsid w:val="00CF6FBA"/>
    <w:rsid w:val="00D12082"/>
    <w:rsid w:val="00D13F2A"/>
    <w:rsid w:val="00D1426E"/>
    <w:rsid w:val="00D15DB2"/>
    <w:rsid w:val="00D1628E"/>
    <w:rsid w:val="00D22810"/>
    <w:rsid w:val="00D26494"/>
    <w:rsid w:val="00D32514"/>
    <w:rsid w:val="00D34375"/>
    <w:rsid w:val="00D375B2"/>
    <w:rsid w:val="00D437D8"/>
    <w:rsid w:val="00D4531B"/>
    <w:rsid w:val="00D47FE3"/>
    <w:rsid w:val="00D530A6"/>
    <w:rsid w:val="00D639A8"/>
    <w:rsid w:val="00D7311E"/>
    <w:rsid w:val="00D76A35"/>
    <w:rsid w:val="00D819A0"/>
    <w:rsid w:val="00D826B0"/>
    <w:rsid w:val="00D85488"/>
    <w:rsid w:val="00D934D6"/>
    <w:rsid w:val="00D94901"/>
    <w:rsid w:val="00D96994"/>
    <w:rsid w:val="00DB480C"/>
    <w:rsid w:val="00DB4D7A"/>
    <w:rsid w:val="00DC6048"/>
    <w:rsid w:val="00DD1049"/>
    <w:rsid w:val="00DD75AB"/>
    <w:rsid w:val="00DE1D68"/>
    <w:rsid w:val="00DE3113"/>
    <w:rsid w:val="00DE465D"/>
    <w:rsid w:val="00DF3DDB"/>
    <w:rsid w:val="00E207C2"/>
    <w:rsid w:val="00E264AF"/>
    <w:rsid w:val="00E315B9"/>
    <w:rsid w:val="00E357FB"/>
    <w:rsid w:val="00E40367"/>
    <w:rsid w:val="00E415DC"/>
    <w:rsid w:val="00E539CE"/>
    <w:rsid w:val="00E56768"/>
    <w:rsid w:val="00E57BF7"/>
    <w:rsid w:val="00E60E56"/>
    <w:rsid w:val="00E6250E"/>
    <w:rsid w:val="00E62D46"/>
    <w:rsid w:val="00E65E76"/>
    <w:rsid w:val="00E72324"/>
    <w:rsid w:val="00E7524C"/>
    <w:rsid w:val="00E86FE4"/>
    <w:rsid w:val="00E97A6A"/>
    <w:rsid w:val="00EB2081"/>
    <w:rsid w:val="00EB37A0"/>
    <w:rsid w:val="00EB3964"/>
    <w:rsid w:val="00EB5AF1"/>
    <w:rsid w:val="00ED009E"/>
    <w:rsid w:val="00ED4806"/>
    <w:rsid w:val="00EE4488"/>
    <w:rsid w:val="00EE7798"/>
    <w:rsid w:val="00EF058D"/>
    <w:rsid w:val="00EF2825"/>
    <w:rsid w:val="00F0009F"/>
    <w:rsid w:val="00F03AFD"/>
    <w:rsid w:val="00F152E7"/>
    <w:rsid w:val="00F16247"/>
    <w:rsid w:val="00F32032"/>
    <w:rsid w:val="00F32EA3"/>
    <w:rsid w:val="00F33399"/>
    <w:rsid w:val="00F4088E"/>
    <w:rsid w:val="00F5302F"/>
    <w:rsid w:val="00F53359"/>
    <w:rsid w:val="00F56B0D"/>
    <w:rsid w:val="00F61F37"/>
    <w:rsid w:val="00F62A3C"/>
    <w:rsid w:val="00F719A2"/>
    <w:rsid w:val="00F73EE9"/>
    <w:rsid w:val="00F80133"/>
    <w:rsid w:val="00F91F9A"/>
    <w:rsid w:val="00F97624"/>
    <w:rsid w:val="00F97B3A"/>
    <w:rsid w:val="00FA037F"/>
    <w:rsid w:val="00FA2426"/>
    <w:rsid w:val="00FA2711"/>
    <w:rsid w:val="00FA3E93"/>
    <w:rsid w:val="00FA69E0"/>
    <w:rsid w:val="00FC3F96"/>
    <w:rsid w:val="00FC53DB"/>
    <w:rsid w:val="00FD324C"/>
    <w:rsid w:val="00FE203B"/>
    <w:rsid w:val="00FE3891"/>
    <w:rsid w:val="00FE6900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847C67-356C-402D-AFA4-06FD19CE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89A"/>
  </w:style>
  <w:style w:type="paragraph" w:styleId="1">
    <w:name w:val="heading 1"/>
    <w:basedOn w:val="a"/>
    <w:link w:val="10"/>
    <w:uiPriority w:val="99"/>
    <w:qFormat/>
    <w:locked/>
    <w:rsid w:val="006A370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3706"/>
    <w:rPr>
      <w:rFonts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E62D46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525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9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93B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801"/>
    <w:pPr>
      <w:ind w:left="720"/>
      <w:contextualSpacing/>
    </w:pPr>
    <w:rPr>
      <w:rFonts w:cs="Times New Roman"/>
      <w:lang w:eastAsia="en-US"/>
    </w:rPr>
  </w:style>
  <w:style w:type="paragraph" w:styleId="a8">
    <w:name w:val="No Spacing"/>
    <w:uiPriority w:val="1"/>
    <w:qFormat/>
    <w:rsid w:val="00261801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1141;fld=134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23;n=61141;fld=134;dst=1000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23;n=61141;fld=134;dst=1000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main?base=RLAW123;n=61141;fld=134;dst=100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23;n=61141;fld=134;dst=100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E0AA-790D-4FD1-A56E-19C48E72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ГФУ</Company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2</cp:revision>
  <cp:lastPrinted>2022-06-22T08:51:00Z</cp:lastPrinted>
  <dcterms:created xsi:type="dcterms:W3CDTF">2024-01-26T09:46:00Z</dcterms:created>
  <dcterms:modified xsi:type="dcterms:W3CDTF">2024-01-26T09:46:00Z</dcterms:modified>
</cp:coreProperties>
</file>